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AG_REGIERUNGSRAT RRB 2023-000503 vom 3. Mai 2023</w:t>
      </w:r>
    </w:p>
    <w:p>
      <w:r>
        <w:t>Ag Regierungsrat, 2023-05-03, DE</w:t>
      </w:r>
    </w:p>
    <w:p>
      <w:r>
        <w:rPr>
          <w:b/>
        </w:rPr>
        <w:t xml:space="preserve">Quelle: </w:t>
      </w:r>
      <w:r>
        <w:t>https://mcp.opencaselaw.ch/entscheid/ag_regierungsrat_RRB 2023-000503</w:t>
      </w:r>
    </w:p>
    <w:p>
      <w:r>
        <w:t>FR: AG_REGIERUNGSRAT RRB 2023-000503 du 3 mai 2023</w:t>
      </w:r>
    </w:p>
    <w:p>
      <w:r>
        <w:t>IT: AG_REGIERUNGSRAT RRB 2023-000503 del 3 maggio 2023</w:t>
      </w:r>
    </w:p>
    <w:p>
      <w:pPr>
        <w:pStyle w:val="Heading2"/>
      </w:pPr>
      <w:r>
        <w:t>Regeste</w:t>
      </w:r>
    </w:p>
    <w:p>
      <w:r>
        <w:t>Ortsbildschutz; Denkmalschutz; ISOS; Ortsbild von nationaler Bedeutung - Verfügt die Gemeinde über ein Ortsbild von nationaler Bedeutung, ist sie an den im ISOS definierten Schutzgrad gebunden, sodass sie sich nicht auf die Gemeindeautonomie berufen kann (Erw. 6.2) - Den kantonalen Schutz von Baudenkmälern können die Gemeinden im kommunalen Recht ausweiten, nicht aber schmälern (Erw. 6.2). - Ist die Umgebung eines Denkmals zugleich ortsbildprägend, bedarf es einer Gesamtbetrachtung aus Sicht des Denkmal- und Ortsbildschutzes (Erw. 6.2)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von 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